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О сроках назначения пенсий лицам, ожидающим назначения пенсий за выслугу лет после достижения предельного возраста состояния на военной службе.</w:t>
      </w:r>
    </w:p>
    <w:p w:rsidR="001245B2" w:rsidRPr="001245B2" w:rsidRDefault="001245B2" w:rsidP="001245B2">
      <w:pPr>
        <w:spacing w:before="100" w:beforeAutospacing="1" w:after="386" w:line="386" w:lineRule="atLeast"/>
        <w:ind w:firstLine="70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С 13 апреля 2016 года вступил в силу Указ Президента Республики Беларусь от 11 апреля 2016г. «О совершенствовании пенсионного обеспечения» (далее – Указ №137).</w:t>
      </w:r>
    </w:p>
    <w:p w:rsidR="001245B2" w:rsidRPr="001245B2" w:rsidRDefault="001245B2" w:rsidP="001245B2">
      <w:pPr>
        <w:spacing w:before="100" w:beforeAutospacing="1" w:after="386" w:line="386" w:lineRule="atLeast"/>
        <w:ind w:firstLine="70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В соответствии с частью первой подпункта 1.3 пункта 1 Указа № 137 с 1 января 2017 г. предельный возраст состояния на военной службе в воинских званиях до подполковника включительно повышается ежегодно с 1 января на 6 месяцев, но не более чем на 3 года в общей сложности.</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На основании части второй пункта 4 Указа № 137, его действие не распространяется </w:t>
      </w:r>
      <w:r w:rsidRPr="001245B2">
        <w:rPr>
          <w:rFonts w:ascii="Times New Roman" w:eastAsia="Times New Roman" w:hAnsi="Times New Roman" w:cs="Times New Roman"/>
          <w:color w:val="3D3D3D"/>
          <w:sz w:val="28"/>
          <w:szCs w:val="28"/>
          <w:lang w:eastAsia="ru-RU"/>
        </w:rPr>
        <w:t>на условия назначения пенсий за выслугу лет лицам, уволенным с военной службы, приказ об увольнении которых издан до вступления в силу Указа № 137 (т.е. до 13 апреля 2016 года).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8"/>
          <w:sz w:val="28"/>
          <w:szCs w:val="28"/>
          <w:lang w:eastAsia="ru-RU"/>
        </w:rPr>
        <w:t>Таким образом, военнослужащие в воинском звании до подполковника включительно, уволенные с военной службы до 13 апреля 2016 г., и ожидающие назначения пенсии за выслугу лет после достижения предельного возраста состояния на военной службе, имеют право на назначение пенсии со дня достижения ими 45-летнего возраста.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Также имеют право на назначение пенсии за выслугу лет со дня достижения 45-летнего возраста военнослужащие, приказ об увольнении которых с военной службы подписан до 13 апреля 2016 г., а их исключение из списков личного состава воинской части состоялось позднее указанной даты.</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Кроме того согласно части второй подпункта 1.3 пункта 1 Указа № 137  </w:t>
      </w:r>
      <w:r w:rsidRPr="001245B2">
        <w:rPr>
          <w:rFonts w:ascii="Times New Roman" w:eastAsia="Times New Roman" w:hAnsi="Times New Roman" w:cs="Times New Roman"/>
          <w:color w:val="3D3D3D"/>
          <w:sz w:val="28"/>
          <w:szCs w:val="28"/>
          <w:lang w:eastAsia="ru-RU"/>
        </w:rPr>
        <w:t xml:space="preserve">повышение предельного возраста (с  45 до 48 лет) состояния на военной службе не распространяется на военнослужащих, признанных военно-врачебной комиссией по состоянию здоровья негодными (не отвечающими специальным требованиям) к военной службе по занимаемым должностям, категории которых утверждаются Советом Министров Республики Беларусь по согласованию с Президентом Республики Беларусь. Соответствующий </w:t>
      </w:r>
      <w:r w:rsidRPr="001245B2">
        <w:rPr>
          <w:rFonts w:ascii="Times New Roman" w:eastAsia="Times New Roman" w:hAnsi="Times New Roman" w:cs="Times New Roman"/>
          <w:color w:val="3D3D3D"/>
          <w:sz w:val="28"/>
          <w:szCs w:val="28"/>
          <w:lang w:eastAsia="ru-RU"/>
        </w:rPr>
        <w:lastRenderedPageBreak/>
        <w:t>перечень категорий военнослужащих, имеющих право на увольнение с военной службы по достижении 45-летнего возраста без учета повышения предельного возраста стояния на военной службе, в настоящее время разрабатывается и будет доведен до заинтересованных госорганов после его утверждения.</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pacing w:val="-6"/>
          <w:sz w:val="28"/>
          <w:szCs w:val="28"/>
          <w:lang w:eastAsia="ru-RU"/>
        </w:rPr>
        <w:t>С учетом этого в</w:t>
      </w:r>
      <w:r w:rsidRPr="001245B2">
        <w:rPr>
          <w:rFonts w:ascii="Times New Roman" w:eastAsia="Times New Roman" w:hAnsi="Times New Roman" w:cs="Times New Roman"/>
          <w:color w:val="3D3D3D"/>
          <w:sz w:val="28"/>
          <w:szCs w:val="28"/>
          <w:lang w:eastAsia="ru-RU"/>
        </w:rPr>
        <w:t>оеннослужащие, признанные по состоянию здоровья не отвечающими специальным требованиям (не имеют права на увольнение с военной службы по болезни), должности которых будут</w:t>
      </w:r>
      <w:r w:rsidRPr="001245B2">
        <w:rPr>
          <w:rFonts w:ascii="Times New Roman" w:eastAsia="Times New Roman" w:hAnsi="Times New Roman" w:cs="Times New Roman"/>
          <w:color w:val="3D3D3D"/>
          <w:spacing w:val="-6"/>
          <w:sz w:val="28"/>
          <w:szCs w:val="28"/>
          <w:lang w:eastAsia="ru-RU"/>
        </w:rPr>
        <w:t>включены в указанный перечень, могут быть уволены с военной службы по:</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возрасту, если они достигли 45-летнего возраста;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другим основаниям – в этом случае пенсии им назначаются также со дня достижения 45-летнего возраста.</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случае, если военнослужащий, признанный по состоянию здоровья не отвечающий специальным требованиям, занимал должность, не предусмотренную в указанном перечне, то пенсия ему назначается после 1 января 2017 г. с учетом соответствующего повышения предельного возраста состояния на военной службе.</w:t>
      </w:r>
    </w:p>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Пенсии за выслугу лет военнослужащим </w:t>
      </w:r>
      <w:r w:rsidRPr="001245B2">
        <w:rPr>
          <w:rFonts w:ascii="Times New Roman" w:eastAsia="Times New Roman" w:hAnsi="Times New Roman" w:cs="Times New Roman"/>
          <w:color w:val="3D3D3D"/>
          <w:spacing w:val="-8"/>
          <w:sz w:val="28"/>
          <w:szCs w:val="28"/>
          <w:lang w:eastAsia="ru-RU"/>
        </w:rPr>
        <w:t>в воинском звании до подполковника включительно,</w:t>
      </w:r>
      <w:r w:rsidRPr="001245B2">
        <w:rPr>
          <w:rFonts w:ascii="Times New Roman" w:eastAsia="Times New Roman" w:hAnsi="Times New Roman" w:cs="Times New Roman"/>
          <w:color w:val="3D3D3D"/>
          <w:sz w:val="28"/>
          <w:szCs w:val="28"/>
          <w:lang w:eastAsia="ru-RU"/>
        </w:rPr>
        <w:t> уволенным с военной службы после 13 апреля 2016 г., и ожидающим назначения пенсии за выслугу лет после достижения предельного возраста состояния на военной службе, назначаются с учетом следующих дат и возрастов:</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tbl>
      <w:tblPr>
        <w:tblW w:w="9378" w:type="dxa"/>
        <w:jc w:val="center"/>
        <w:tblInd w:w="-1605" w:type="dxa"/>
        <w:tblCellMar>
          <w:left w:w="0" w:type="dxa"/>
          <w:right w:w="0" w:type="dxa"/>
        </w:tblCellMar>
        <w:tblLook w:val="04A0"/>
      </w:tblPr>
      <w:tblGrid>
        <w:gridCol w:w="3998"/>
        <w:gridCol w:w="3675"/>
        <w:gridCol w:w="1705"/>
      </w:tblGrid>
      <w:tr w:rsidR="001245B2" w:rsidRPr="001245B2" w:rsidTr="001245B2">
        <w:trPr>
          <w:jc w:val="center"/>
        </w:trPr>
        <w:tc>
          <w:tcPr>
            <w:tcW w:w="4048" w:type="dxa"/>
            <w:tcBorders>
              <w:top w:val="single" w:sz="8" w:space="0" w:color="auto"/>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рождения</w:t>
            </w:r>
          </w:p>
        </w:tc>
        <w:tc>
          <w:tcPr>
            <w:tcW w:w="3718"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достижения предельного возраста</w:t>
            </w:r>
          </w:p>
        </w:tc>
        <w:tc>
          <w:tcPr>
            <w:tcW w:w="1612"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Предельный возраст</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31 декабря 1971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2016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45</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с 01 января по 30 июня 1972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2017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45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1972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2018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46</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1973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2019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46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1973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2020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47</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1974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2021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47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1974 г.</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2022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48</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1975 г. и позднее</w:t>
            </w:r>
          </w:p>
        </w:tc>
        <w:tc>
          <w:tcPr>
            <w:tcW w:w="3718"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2023 г. и позднее</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48</w:t>
            </w:r>
          </w:p>
        </w:tc>
      </w:tr>
    </w:tbl>
    <w:p w:rsidR="001245B2" w:rsidRPr="001245B2" w:rsidRDefault="001245B2" w:rsidP="001245B2">
      <w:pPr>
        <w:spacing w:before="100" w:beforeAutospacing="1" w:after="386" w:line="386" w:lineRule="atLeast"/>
        <w:ind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Порядок перерасчета пенсий в связи с достижением общеустановленного пенсионного возраста в связи с изменением законодательства Республики Беларусь.</w:t>
      </w:r>
    </w:p>
    <w:p w:rsidR="001245B2" w:rsidRPr="001245B2" w:rsidRDefault="001245B2" w:rsidP="001245B2">
      <w:pPr>
        <w:spacing w:before="100" w:beforeAutospacing="1"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связи со вступлением в силу с 1 сентября 2016г. Указа Президента Республики Беларусь от 11 августа 2016 г. № 308 «О пенсионном обеспечении отдельных категорий военнослужащих» размеры пенсий военнослужащих, уволенных с военной службы в связи с сокращением Вооруженных Сил Республики Беларусь в период с 24 апреля 1992 года по 31 декабря 1994 года, получающих пенсии за выслугу 15-19 лет подлежат увеличению за стаж работы после увольнения с военной службы.</w:t>
      </w:r>
    </w:p>
    <w:p w:rsidR="001245B2" w:rsidRPr="001245B2" w:rsidRDefault="001245B2" w:rsidP="001245B2">
      <w:pPr>
        <w:spacing w:before="100" w:beforeAutospacing="1"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Военным пенсионерам, достигшим общеустановленного пенсионного возраста (до 1 января 2017 года мужчины </w:t>
      </w:r>
      <w:r w:rsidRPr="001245B2">
        <w:rPr>
          <w:rFonts w:ascii="Times New Roman" w:eastAsia="Times New Roman" w:hAnsi="Times New Roman" w:cs="Times New Roman"/>
          <w:color w:val="3D3D3D"/>
          <w:sz w:val="28"/>
          <w:szCs w:val="28"/>
          <w:lang w:val="en-US" w:eastAsia="ru-RU"/>
        </w:rPr>
        <w:t>c</w:t>
      </w:r>
      <w:r w:rsidRPr="001245B2">
        <w:rPr>
          <w:rFonts w:ascii="Times New Roman" w:eastAsia="Times New Roman" w:hAnsi="Times New Roman" w:cs="Times New Roman"/>
          <w:color w:val="3D3D3D"/>
          <w:sz w:val="28"/>
          <w:szCs w:val="28"/>
          <w:lang w:eastAsia="ru-RU"/>
        </w:rPr>
        <w:t> 60 лет, женщины </w:t>
      </w:r>
      <w:r w:rsidRPr="001245B2">
        <w:rPr>
          <w:rFonts w:ascii="Times New Roman" w:eastAsia="Times New Roman" w:hAnsi="Times New Roman" w:cs="Times New Roman"/>
          <w:color w:val="3D3D3D"/>
          <w:sz w:val="28"/>
          <w:szCs w:val="28"/>
          <w:lang w:val="en-US" w:eastAsia="ru-RU"/>
        </w:rPr>
        <w:t>c</w:t>
      </w:r>
      <w:r w:rsidRPr="001245B2">
        <w:rPr>
          <w:rFonts w:ascii="Times New Roman" w:eastAsia="Times New Roman" w:hAnsi="Times New Roman" w:cs="Times New Roman"/>
          <w:color w:val="3D3D3D"/>
          <w:sz w:val="28"/>
          <w:szCs w:val="28"/>
          <w:lang w:eastAsia="ru-RU"/>
        </w:rPr>
        <w:t xml:space="preserve"> 55 лет), размер </w:t>
      </w:r>
      <w:r w:rsidRPr="001245B2">
        <w:rPr>
          <w:rFonts w:ascii="Times New Roman" w:eastAsia="Times New Roman" w:hAnsi="Times New Roman" w:cs="Times New Roman"/>
          <w:color w:val="3D3D3D"/>
          <w:sz w:val="28"/>
          <w:szCs w:val="28"/>
          <w:lang w:eastAsia="ru-RU"/>
        </w:rPr>
        <w:lastRenderedPageBreak/>
        <w:t>пенсии за выслугу 15-19 лет подлежит увеличению за каждый год стажа работы (со дня увольнения с военной службы до дня достижения общеустановленного пенсионного возраста) на один процент соответствующих сумм денежного довольствия, учитываемых для исчисления им пенсий. При этом размер пенсии с учетом увеличения не может превышать 70 процентов этих сумм. В стаж работы, учитываемый для увеличения размера пенсий за выслугу 15-19 лет в соответствии с частью первой статьи 51 Закона Республики Беларусь от 17 апреля 1992 года «О пенсионном обеспечении»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государственного внебюджетного фонда социальной защиты населения Республики Беларусь.</w:t>
      </w:r>
    </w:p>
    <w:p w:rsidR="001245B2" w:rsidRPr="001245B2" w:rsidRDefault="001245B2" w:rsidP="001245B2">
      <w:pPr>
        <w:spacing w:before="100" w:beforeAutospacing="1"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связи с этим военные пенсионеры, достигшие до 1 сентября 2016 года общеустановленного пенсионного возраста (мужчины с 60 лет, женщины с 55 лет), имеют право на увеличение размера исчисления пенсии с 1 сентября 2016 года. Какая-либо доплата за прошлое время военным пенсионерам, достигшим общеустановленного пенсионного возраста ранее, не осуществляется.  Увеличение размеров исчисления пенсий военным пенсионерам, достигающим общеустановленного пенсионного возраста после 1 сентября 2016 года будет осуществляться по общему правилу с первого числа месяца, следующего за тем месяцем, в котором они достигли общеустановленного пенсионного возраста, а именно:</w:t>
      </w:r>
    </w:p>
    <w:p w:rsidR="001245B2" w:rsidRPr="001245B2" w:rsidRDefault="001245B2" w:rsidP="001245B2">
      <w:pPr>
        <w:spacing w:before="100" w:beforeAutospacing="1" w:after="386" w:line="386" w:lineRule="atLeast"/>
        <w:ind w:left="707"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Мужчины:</w:t>
      </w:r>
    </w:p>
    <w:tbl>
      <w:tblPr>
        <w:tblW w:w="9385" w:type="dxa"/>
        <w:jc w:val="center"/>
        <w:tblInd w:w="-1793" w:type="dxa"/>
        <w:tblCellMar>
          <w:left w:w="0" w:type="dxa"/>
          <w:right w:w="0" w:type="dxa"/>
        </w:tblCellMar>
        <w:tblLook w:val="04A0"/>
      </w:tblPr>
      <w:tblGrid>
        <w:gridCol w:w="4034"/>
        <w:gridCol w:w="3606"/>
        <w:gridCol w:w="1745"/>
      </w:tblGrid>
      <w:tr w:rsidR="001245B2" w:rsidRPr="001245B2" w:rsidTr="001245B2">
        <w:trPr>
          <w:jc w:val="center"/>
        </w:trPr>
        <w:tc>
          <w:tcPr>
            <w:tcW w:w="4048" w:type="dxa"/>
            <w:tcBorders>
              <w:top w:val="single" w:sz="8" w:space="0" w:color="auto"/>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рождения</w:t>
            </w:r>
          </w:p>
        </w:tc>
        <w:tc>
          <w:tcPr>
            <w:tcW w:w="3611"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достижения общеустановленного пенсионного возраста</w:t>
            </w:r>
          </w:p>
        </w:tc>
        <w:tc>
          <w:tcPr>
            <w:tcW w:w="1726"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Пенсионный возраст</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31 декабря 1956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2016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60</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1957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2017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60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с 01 июля по 31 декабря 1957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2018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61</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1958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2019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61 год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1958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2020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62</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1959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2021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62 года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1959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2022 г.</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63</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1960 г. и позднее</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2023 г. и позднее</w:t>
            </w:r>
          </w:p>
        </w:tc>
        <w:tc>
          <w:tcPr>
            <w:tcW w:w="1726"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63</w:t>
            </w:r>
          </w:p>
        </w:tc>
      </w:tr>
    </w:tbl>
    <w:p w:rsidR="001245B2" w:rsidRPr="001245B2" w:rsidRDefault="001245B2" w:rsidP="001245B2">
      <w:pPr>
        <w:spacing w:before="100" w:beforeAutospacing="1" w:after="386" w:line="386" w:lineRule="atLeast"/>
        <w:ind w:left="707"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1245B2" w:rsidRPr="001245B2" w:rsidRDefault="001245B2" w:rsidP="001245B2">
      <w:pPr>
        <w:spacing w:before="100" w:beforeAutospacing="1" w:after="386" w:line="386" w:lineRule="atLeast"/>
        <w:ind w:left="707" w:firstLine="709"/>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Женщины:</w:t>
      </w:r>
    </w:p>
    <w:tbl>
      <w:tblPr>
        <w:tblW w:w="9271" w:type="dxa"/>
        <w:jc w:val="center"/>
        <w:tblInd w:w="-1793" w:type="dxa"/>
        <w:tblCellMar>
          <w:left w:w="0" w:type="dxa"/>
          <w:right w:w="0" w:type="dxa"/>
        </w:tblCellMar>
        <w:tblLook w:val="04A0"/>
      </w:tblPr>
      <w:tblGrid>
        <w:gridCol w:w="3952"/>
        <w:gridCol w:w="3574"/>
        <w:gridCol w:w="1745"/>
      </w:tblGrid>
      <w:tr w:rsidR="001245B2" w:rsidRPr="001245B2" w:rsidTr="001245B2">
        <w:trPr>
          <w:jc w:val="center"/>
        </w:trPr>
        <w:tc>
          <w:tcPr>
            <w:tcW w:w="4048" w:type="dxa"/>
            <w:tcBorders>
              <w:top w:val="single" w:sz="8" w:space="0" w:color="auto"/>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рождения</w:t>
            </w:r>
          </w:p>
        </w:tc>
        <w:tc>
          <w:tcPr>
            <w:tcW w:w="3611"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Дата достижения общеустановленного пенсионного возраста</w:t>
            </w:r>
          </w:p>
        </w:tc>
        <w:tc>
          <w:tcPr>
            <w:tcW w:w="1612" w:type="dxa"/>
            <w:tcBorders>
              <w:top w:val="single" w:sz="8" w:space="0" w:color="auto"/>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20"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Пенсионный возраст</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31 декабря 1961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2016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55</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1962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2017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55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1962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2018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56</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1963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с 01 июля по 31 </w:t>
            </w:r>
            <w:r w:rsidRPr="001245B2">
              <w:rPr>
                <w:rFonts w:ascii="Times New Roman" w:eastAsia="Times New Roman" w:hAnsi="Times New Roman" w:cs="Times New Roman"/>
                <w:color w:val="3D3D3D"/>
                <w:sz w:val="28"/>
                <w:szCs w:val="28"/>
                <w:lang w:eastAsia="ru-RU"/>
              </w:rPr>
              <w:lastRenderedPageBreak/>
              <w:t>декабря 2019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56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с 01 июля по 31 декабря 1963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2020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57</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по 30 июня 1964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2021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57 лет 6 мес.</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1964 г.</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июля по 31 декабря 2022 г.</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58</w:t>
            </w:r>
          </w:p>
        </w:tc>
      </w:tr>
      <w:tr w:rsidR="001245B2" w:rsidRPr="001245B2" w:rsidTr="001245B2">
        <w:trPr>
          <w:jc w:val="center"/>
        </w:trPr>
        <w:tc>
          <w:tcPr>
            <w:tcW w:w="4048" w:type="dxa"/>
            <w:tcBorders>
              <w:top w:val="nil"/>
              <w:left w:val="single" w:sz="8" w:space="0" w:color="auto"/>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 01 января 1965 г. и позднее</w:t>
            </w:r>
          </w:p>
        </w:tc>
        <w:tc>
          <w:tcPr>
            <w:tcW w:w="3611"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2023 г. и позднее</w:t>
            </w:r>
          </w:p>
        </w:tc>
        <w:tc>
          <w:tcPr>
            <w:tcW w:w="1612" w:type="dxa"/>
            <w:tcBorders>
              <w:top w:val="nil"/>
              <w:left w:val="nil"/>
              <w:bottom w:val="single" w:sz="8" w:space="0" w:color="auto"/>
              <w:right w:val="single" w:sz="8" w:space="0" w:color="auto"/>
            </w:tcBorders>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58</w:t>
            </w:r>
          </w:p>
        </w:tc>
      </w:tr>
    </w:tbl>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800000"/>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О выплате пенсии по случаю потери кормильца лицам, обучающимся в учебных заведениях и не достигших 23-летнего возраста</w:t>
      </w:r>
    </w:p>
    <w:p w:rsidR="001245B2" w:rsidRPr="001245B2" w:rsidRDefault="001245B2" w:rsidP="001245B2">
      <w:pPr>
        <w:spacing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связи с поступающими вопросами разъясняется, что в соответствии с пунктом «а» части третьей статьи 30 Закона Республики Беларусь от 17.12.1992 года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право на пенсию по случаю потери кормильца имеют лица, получающие в Республике Беларусь, за пределами Республики Беларусь в соответствии с международными договорами Республики Беларусь высшее образование в дневной форме.</w:t>
      </w:r>
    </w:p>
    <w:p w:rsidR="001245B2" w:rsidRPr="001245B2" w:rsidRDefault="001245B2" w:rsidP="001245B2">
      <w:pPr>
        <w:spacing w:after="0"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Согласно пунктам 3 – 5 статьи 202 Кодекса Республики Беларусь об образовании, принятого 13 января 2011 г., высшее образование подразделяется на две ступени, второй из которых является магистратура.</w:t>
      </w:r>
    </w:p>
    <w:p w:rsidR="001245B2" w:rsidRPr="001245B2" w:rsidRDefault="001245B2" w:rsidP="001245B2">
      <w:pPr>
        <w:spacing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связи с этим, лица, обучающиеся в том числе и в магистратуре в дневной форме получения образования и не достигшие возраста 23 лет, имеют право на получение пенсии по случаю потери кормильца.</w:t>
      </w:r>
    </w:p>
    <w:p w:rsidR="001245B2" w:rsidRPr="001245B2" w:rsidRDefault="001245B2" w:rsidP="001245B2">
      <w:pPr>
        <w:spacing w:after="0"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xml:space="preserve">         Также следует отметить, что лицам, получающим пенсию по случаю потери кормильца и обучающимся в учебных заведениях, 2 раза в год не </w:t>
      </w:r>
      <w:r w:rsidRPr="001245B2">
        <w:rPr>
          <w:rFonts w:ascii="Times New Roman" w:eastAsia="Times New Roman" w:hAnsi="Times New Roman" w:cs="Times New Roman"/>
          <w:color w:val="3D3D3D"/>
          <w:sz w:val="28"/>
          <w:szCs w:val="28"/>
          <w:lang w:eastAsia="ru-RU"/>
        </w:rPr>
        <w:lastRenderedPageBreak/>
        <w:t>ранее 1 марта и 1 сентября текущего года соответственно, необходимо представлять в филиал №514 ОАО «АСБ Беларусбанк» (220088, г.Минск, ул.Ивановская, 39) справку об обучении с указанием в ней следующей информации:</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форма обучения;</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курс обучения;</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о нахождении обучающегося на государственном обеспечении;</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о предоставлении академического отпуска;</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о сроке окончания обучения.</w:t>
      </w:r>
    </w:p>
    <w:p w:rsidR="001245B2" w:rsidRPr="001245B2" w:rsidRDefault="001245B2" w:rsidP="001245B2">
      <w:pPr>
        <w:spacing w:after="0" w:line="386" w:lineRule="atLeast"/>
        <w:ind w:firstLine="708"/>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Гражданам, несвоевременно представившим справки, пенсия будет временно приостановлена до представления соответствующих документов.</w:t>
      </w:r>
    </w:p>
    <w:p w:rsidR="001245B2" w:rsidRPr="001245B2" w:rsidRDefault="001245B2" w:rsidP="001245B2">
      <w:pPr>
        <w:spacing w:after="0"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800000"/>
          <w:sz w:val="28"/>
          <w:szCs w:val="28"/>
          <w:lang w:eastAsia="ru-RU"/>
        </w:rPr>
        <w:t>Разъяснение для пенсионеров Министерства обороны Республики Беларусь, принявших решение на перемену постоянного места жительства в Российскую Федерацию.</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Соглашением о порядке пенсионного обеспечения военнослужащих и членов их семей государств-участников Содружества Независимых Государств (Ташкент, 1992г.) установлено, что пенсионное обеспечение военнослужащих и членов их семей осуществляется на условиях, по нормам и в порядке, которые установлены или будут установлены законодательством государств-участников, на территории которых проживают указанные пенсионеры и их семьи. Расходы по пенсионному обеспечению военнослужащих и их семей осуществляются государствами-участниками, на территории которых проживают пенсионеры за счет их бюджетов.</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Согласно статье 56 Закона Российской Федерации от 12.02.1993 года №4468-1 «О пенсионном обеспечении лиц, проходивших военную службу» выплата пенсий, предусмотренных настоящим Законом, производится по месту жительства или месту пребывания пенсионеров в пределах территории Российской Федерации.</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Исходя из перечисленных норм законодательных актов, обязательным условием для получения права на пенсионное обеспечение МО РФ является проживание на территории Российской Федерации.</w:t>
      </w:r>
      <w:r w:rsidRPr="001245B2">
        <w:rPr>
          <w:rFonts w:ascii="Times New Roman" w:eastAsia="Times New Roman" w:hAnsi="Times New Roman" w:cs="Times New Roman"/>
          <w:i/>
          <w:iCs/>
          <w:color w:val="3D3D3D"/>
          <w:sz w:val="28"/>
          <w:szCs w:val="28"/>
          <w:lang w:eastAsia="ru-RU"/>
        </w:rPr>
        <w:t> </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 соответствии со ст. 2 Федерального закона от 25.07.2002 года №115-ФЗ «О правовом положении иностранных граждан в Российской Федерации» постоянно проживающим в Российской Федерации иностранным гражданином является лицо, получившее</w:t>
      </w:r>
      <w:r w:rsidRPr="001245B2">
        <w:rPr>
          <w:rFonts w:ascii="Times New Roman" w:eastAsia="Times New Roman" w:hAnsi="Times New Roman" w:cs="Times New Roman"/>
          <w:i/>
          <w:iCs/>
          <w:color w:val="0000FF"/>
          <w:sz w:val="28"/>
          <w:szCs w:val="28"/>
          <w:lang w:eastAsia="ru-RU"/>
        </w:rPr>
        <w:t> </w:t>
      </w:r>
      <w:r w:rsidRPr="001245B2">
        <w:rPr>
          <w:rFonts w:ascii="Times New Roman" w:eastAsia="Times New Roman" w:hAnsi="Times New Roman" w:cs="Times New Roman"/>
          <w:color w:val="3D3D3D"/>
          <w:sz w:val="28"/>
          <w:szCs w:val="28"/>
          <w:lang w:eastAsia="ru-RU"/>
        </w:rPr>
        <w:t>вид на жительство.</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Вид на жительство аннулируется, если иностранный гражданин выехал из Российской Федерации в другое государство для постоянного проживания или находится за пределами Российской Федерации более 6 месяцев.</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Поскольку для получения вида на жительство иностранному гражданину требуется время для оформления документов, то на период до получения документа, разрешающего постоянное проживание на территории Российской Федерации, пенсия может быть назначена на основании других документов, подтверждающих законное пребывание на территории Российской Федерации. При этом документами, подтверждающими убытие из другого государства являются заграничный паспорт с визой о выезде на постоянное место жительства в Россию, а также одна из форм миграционного учета – адресный листок убытия и снятие с регистрационного учета по прежнему месту жительства.</w:t>
      </w:r>
    </w:p>
    <w:p w:rsidR="001245B2" w:rsidRPr="001245B2" w:rsidRDefault="001245B2" w:rsidP="001245B2">
      <w:pPr>
        <w:spacing w:before="100" w:beforeAutospacing="1" w:after="386" w:line="386" w:lineRule="atLeast"/>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Таким образом, необходимым условием для назначения пенсии по линии Министерства обороны Российской Федерации для указанных лиц являются:</w:t>
      </w:r>
    </w:p>
    <w:p w:rsidR="001245B2" w:rsidRPr="001245B2" w:rsidRDefault="001245B2" w:rsidP="001245B2">
      <w:pPr>
        <w:spacing w:before="100" w:beforeAutospacing="1" w:after="386" w:line="386" w:lineRule="atLeast"/>
        <w:ind w:left="927" w:hanging="36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1.     Снятие с регистрационного учета с прежнего места жительства (получение паспорта серии </w:t>
      </w:r>
      <w:r w:rsidRPr="001245B2">
        <w:rPr>
          <w:rFonts w:ascii="Times New Roman" w:eastAsia="Times New Roman" w:hAnsi="Times New Roman" w:cs="Times New Roman"/>
          <w:color w:val="3D3D3D"/>
          <w:sz w:val="28"/>
          <w:szCs w:val="28"/>
          <w:lang w:val="en-US" w:eastAsia="ru-RU"/>
        </w:rPr>
        <w:t>PP</w:t>
      </w:r>
      <w:r w:rsidRPr="001245B2">
        <w:rPr>
          <w:rFonts w:ascii="Times New Roman" w:eastAsia="Times New Roman" w:hAnsi="Times New Roman" w:cs="Times New Roman"/>
          <w:color w:val="3D3D3D"/>
          <w:sz w:val="28"/>
          <w:szCs w:val="28"/>
          <w:lang w:eastAsia="ru-RU"/>
        </w:rPr>
        <w:t> в органах по гражданству и миграции по месту жительства).</w:t>
      </w:r>
    </w:p>
    <w:p w:rsidR="001245B2" w:rsidRPr="001245B2" w:rsidRDefault="001245B2" w:rsidP="001245B2">
      <w:pPr>
        <w:spacing w:before="100" w:beforeAutospacing="1" w:after="386" w:line="386" w:lineRule="atLeast"/>
        <w:ind w:left="927" w:hanging="36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2.     Регистрация по месту жительства  в Российской Федерации (получение вида на жительство, либо гражданства Российской Федерации).</w:t>
      </w:r>
    </w:p>
    <w:p w:rsidR="001245B2" w:rsidRPr="001245B2" w:rsidRDefault="001245B2" w:rsidP="001245B2">
      <w:pPr>
        <w:spacing w:before="100" w:beforeAutospacing="1" w:after="386" w:line="386" w:lineRule="atLeast"/>
        <w:ind w:left="927" w:hanging="36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lastRenderedPageBreak/>
        <w:t>3.     Адресный листок убытия с прежнего места жительства.</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 </w:t>
      </w:r>
    </w:p>
    <w:p w:rsidR="001245B2" w:rsidRPr="001245B2" w:rsidRDefault="001245B2" w:rsidP="001245B2">
      <w:pPr>
        <w:spacing w:before="100" w:beforeAutospacing="1" w:after="386" w:line="386" w:lineRule="atLeast"/>
        <w:ind w:firstLine="720"/>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Справки по телефону 8-0154-</w:t>
      </w:r>
      <w:r w:rsidR="00DC5437">
        <w:rPr>
          <w:rFonts w:ascii="Times New Roman" w:eastAsia="Times New Roman" w:hAnsi="Times New Roman" w:cs="Times New Roman"/>
          <w:b/>
          <w:bCs/>
          <w:color w:val="3D3D3D"/>
          <w:sz w:val="28"/>
          <w:szCs w:val="28"/>
          <w:lang w:eastAsia="ru-RU"/>
        </w:rPr>
        <w:t>659740</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tbl>
      <w:tblPr>
        <w:tblW w:w="9468" w:type="dxa"/>
        <w:tblCellMar>
          <w:left w:w="0" w:type="dxa"/>
          <w:right w:w="0" w:type="dxa"/>
        </w:tblCellMar>
        <w:tblLook w:val="04A0"/>
      </w:tblPr>
      <w:tblGrid>
        <w:gridCol w:w="5508"/>
        <w:gridCol w:w="3960"/>
      </w:tblGrid>
      <w:tr w:rsidR="001245B2" w:rsidRPr="001245B2" w:rsidTr="001245B2">
        <w:tc>
          <w:tcPr>
            <w:tcW w:w="5508"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80" w:lineRule="atLeast"/>
              <w:ind w:right="-6"/>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Ведущий специалист по социальной защите и пенсионному обеспечению военного комиссариата Лидского района</w:t>
            </w:r>
          </w:p>
        </w:tc>
        <w:tc>
          <w:tcPr>
            <w:tcW w:w="3960"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Соколова</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Анна Ивановна</w:t>
            </w:r>
          </w:p>
        </w:tc>
      </w:tr>
      <w:tr w:rsidR="001245B2" w:rsidRPr="001245B2" w:rsidTr="001245B2">
        <w:tc>
          <w:tcPr>
            <w:tcW w:w="5508"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80" w:lineRule="atLeast"/>
              <w:ind w:right="-6"/>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tc>
        <w:tc>
          <w:tcPr>
            <w:tcW w:w="3960"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b/>
                <w:bCs/>
                <w:color w:val="3D3D3D"/>
                <w:sz w:val="28"/>
                <w:szCs w:val="28"/>
                <w:lang w:eastAsia="ru-RU"/>
              </w:rPr>
              <w:t> </w:t>
            </w:r>
          </w:p>
        </w:tc>
      </w:tr>
      <w:tr w:rsidR="001245B2" w:rsidRPr="001245B2" w:rsidTr="001245B2">
        <w:tc>
          <w:tcPr>
            <w:tcW w:w="5508" w:type="dxa"/>
            <w:shd w:val="clear" w:color="auto" w:fill="F6F0E4"/>
            <w:tcMar>
              <w:top w:w="0" w:type="dxa"/>
              <w:left w:w="108" w:type="dxa"/>
              <w:bottom w:w="0" w:type="dxa"/>
              <w:right w:w="108" w:type="dxa"/>
            </w:tcMar>
            <w:hideMark/>
          </w:tcPr>
          <w:p w:rsidR="001245B2" w:rsidRPr="001245B2" w:rsidRDefault="001245B2" w:rsidP="001245B2">
            <w:pPr>
              <w:spacing w:before="100" w:beforeAutospacing="1" w:after="386" w:line="280" w:lineRule="atLeast"/>
              <w:ind w:right="-6"/>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Специалист военного комиссариата Лидского района</w:t>
            </w:r>
          </w:p>
        </w:tc>
        <w:tc>
          <w:tcPr>
            <w:tcW w:w="3960" w:type="dxa"/>
            <w:shd w:val="clear" w:color="auto" w:fill="F6F0E4"/>
            <w:tcMar>
              <w:top w:w="0" w:type="dxa"/>
              <w:left w:w="108" w:type="dxa"/>
              <w:bottom w:w="0" w:type="dxa"/>
              <w:right w:w="108" w:type="dxa"/>
            </w:tcMar>
            <w:hideMark/>
          </w:tcPr>
          <w:p w:rsidR="001245B2" w:rsidRDefault="00DC5437" w:rsidP="001245B2">
            <w:pPr>
              <w:spacing w:before="100" w:beforeAutospacing="1" w:after="386" w:line="386" w:lineRule="atLeast"/>
              <w:ind w:right="-5"/>
              <w:jc w:val="both"/>
              <w:rPr>
                <w:rFonts w:ascii="Times New Roman" w:eastAsia="Times New Roman" w:hAnsi="Times New Roman" w:cs="Times New Roman"/>
                <w:b/>
                <w:bCs/>
                <w:color w:val="3D3D3D"/>
                <w:sz w:val="28"/>
                <w:szCs w:val="28"/>
                <w:lang w:eastAsia="ru-RU"/>
              </w:rPr>
            </w:pPr>
            <w:r>
              <w:rPr>
                <w:rFonts w:ascii="Times New Roman" w:eastAsia="Times New Roman" w:hAnsi="Times New Roman" w:cs="Times New Roman"/>
                <w:b/>
                <w:bCs/>
                <w:color w:val="3D3D3D"/>
                <w:sz w:val="28"/>
                <w:szCs w:val="28"/>
                <w:lang w:eastAsia="ru-RU"/>
              </w:rPr>
              <w:t>Кайрович</w:t>
            </w:r>
          </w:p>
          <w:p w:rsidR="00DC5437" w:rsidRPr="001245B2" w:rsidRDefault="00DC5437"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b/>
                <w:bCs/>
                <w:color w:val="3D3D3D"/>
                <w:sz w:val="28"/>
                <w:szCs w:val="28"/>
                <w:lang w:eastAsia="ru-RU"/>
              </w:rPr>
              <w:t>Юлия Альфонсовна</w:t>
            </w:r>
          </w:p>
        </w:tc>
      </w:tr>
    </w:tbl>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1245B2" w:rsidRPr="001245B2" w:rsidRDefault="001245B2" w:rsidP="001245B2">
      <w:pPr>
        <w:spacing w:before="100" w:beforeAutospacing="1" w:after="386" w:line="386" w:lineRule="atLeast"/>
        <w:ind w:right="-5"/>
        <w:jc w:val="both"/>
        <w:rPr>
          <w:rFonts w:ascii="Times New Roman" w:eastAsia="Times New Roman" w:hAnsi="Times New Roman" w:cs="Times New Roman"/>
          <w:color w:val="3D3D3D"/>
          <w:sz w:val="28"/>
          <w:szCs w:val="28"/>
          <w:lang w:eastAsia="ru-RU"/>
        </w:rPr>
      </w:pPr>
      <w:r w:rsidRPr="001245B2">
        <w:rPr>
          <w:rFonts w:ascii="Times New Roman" w:eastAsia="Times New Roman" w:hAnsi="Times New Roman" w:cs="Times New Roman"/>
          <w:color w:val="3D3D3D"/>
          <w:sz w:val="28"/>
          <w:szCs w:val="28"/>
          <w:lang w:eastAsia="ru-RU"/>
        </w:rPr>
        <w:t> </w:t>
      </w:r>
    </w:p>
    <w:p w:rsidR="00276A7A" w:rsidRPr="001245B2" w:rsidRDefault="00276A7A" w:rsidP="001245B2">
      <w:pPr>
        <w:jc w:val="both"/>
        <w:rPr>
          <w:rFonts w:ascii="Times New Roman" w:hAnsi="Times New Roman" w:cs="Times New Roman"/>
          <w:sz w:val="28"/>
          <w:szCs w:val="28"/>
        </w:rPr>
      </w:pPr>
    </w:p>
    <w:sectPr w:rsidR="00276A7A" w:rsidRPr="001245B2" w:rsidSect="00276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1245B2"/>
    <w:rsid w:val="001245B2"/>
    <w:rsid w:val="00276A7A"/>
    <w:rsid w:val="00860ECB"/>
    <w:rsid w:val="00DC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1245B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245B2"/>
    <w:rPr>
      <w:rFonts w:ascii="Times New Roman" w:eastAsia="Times New Roman" w:hAnsi="Times New Roman" w:cs="Times New Roman"/>
      <w:sz w:val="24"/>
      <w:szCs w:val="24"/>
      <w:lang w:eastAsia="ru-RU"/>
    </w:rPr>
  </w:style>
  <w:style w:type="paragraph" w:customStyle="1" w:styleId="14">
    <w:name w:val="14"/>
    <w:basedOn w:val="a"/>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245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8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2017-10-24T05:28:00Z</dcterms:created>
  <dcterms:modified xsi:type="dcterms:W3CDTF">2020-01-14T05:35:00Z</dcterms:modified>
</cp:coreProperties>
</file>